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[título]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Retextualização de poemas visuais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[linha fina]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Celebre o centenário da Semana de Arte Moderna de 1922 com a produção de poesia 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[resumo]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 Semana de Arte Moderna de 1922 foi um marco para a compreensão do desenvolvimento e da construção da identidade literária no Brasil e no mundo. A experiência didática “Retextualização de poemas visuais” propõe uma exploração verbal e visual da literatura para ampliar o repertório cultural dos/das estudantes, promover a autoria e discutir a importância da Semana de Arte Moderna.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[objetivos de aprendizagem]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Estimular a curiosidade e interesse por novas leituras;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Ampliar o repertório cultural e pessoal dos/das estudantes por meio da leitura de poemas visuais;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Observar a grafia das palavras e suas possibilidades de exploração visual e sonora;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Representar pensamentos, sentimentos, histórias, experiências pessoais e coletivas por meio da linguagem artística e das motivações da arte.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highlight w:val="yellow"/>
          <w:rtl w:val="0"/>
        </w:rPr>
        <w:t xml:space="preserve">[etapa]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Ensino Médio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[duração]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14 aulas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highlight w:val="yellow"/>
          <w:rtl w:val="0"/>
        </w:rPr>
        <w:t xml:space="preserve">[competências gerais da bncc]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Competência 3: Valorizar e fruir as diversas manifestações artísticas e culturais, das locais às mundiais, e também participar de práticas diversificadas da produção artístico-cultural.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Competência 4: Utilizar diferentes linguagens – verbal (oral ou visual-motora, como Libras, e escrita), corporal, visual, sonora e digital –, bem como conhecimentos das linguagens artística, matemática e científica, para se expressar e partilhar informações, experiências, ideias e sentimentos em diferentes contextos e produzir sentidos que levem ao entendimento mútuo.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highlight w:val="yellow"/>
          <w:rtl w:val="0"/>
        </w:rPr>
        <w:t xml:space="preserve">[áreas de conhecimento / componentes curriculares / habilidades específicas]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9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Linguagens e suas tecnologias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1: Compreender o funcionamento das diferentes linguagens e práticas (artísticas, corporais e verbais) e mobilizar esses conhecimentos na recepção e produção de discursos nos diferentes campos de atuação social e nas diversas mídias, para ampliar as formas de participação social, o entendimento e as possibilidades de explicação e interpretação crítica da realidade e para continuar aprendendo.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EM13LGG103, EM13LGG104, EM13LP13, EM13LP14, EM13LP52, EM13LP53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2: Compreender os processos identitários, conflitos e relações de poder que permeiam as práticas sociais de linguagem, respeitar as diversidades, a pluralidade de ideias e posições e atuar socialmente com base em princípios e valores assentados na democracia, na igualdade e nos Direitos Humanos, exercitando a empatia, o diálogo, a resolução de conflitos e a cooperação, e combatendo preconceitos de qualquer natureza.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EM13LGG201, EM13LP01, EM13LP52</w:t>
      </w:r>
    </w:p>
    <w:p w:rsidR="00000000" w:rsidDel="00000000" w:rsidP="00000000" w:rsidRDefault="00000000" w:rsidRPr="00000000" w14:paraId="00000025">
      <w:pPr>
        <w:shd w:fill="ffffff" w:val="clear"/>
        <w:spacing w:after="20" w:before="2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3: Utilizar diferentes linguagens (artísticas, corporais e verbais) para exercer, com autonomia e colaboração, protagonismo e autoria na vida pessoal e coletiva, de forma crítica, criativa, ética e solidária, defendendo pontos de vista que respeitem o outro e promovam os Direitos Humanos, a consciência socioambiental e o consumo responsável, em âmbito local, regional e global.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EM13LGG301, EM13LGG302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4: Compreender as línguas como fenômeno </w:t>
      </w:r>
      <w:r w:rsidDel="00000000" w:rsidR="00000000" w:rsidRPr="00000000">
        <w:rPr>
          <w:rtl w:val="0"/>
        </w:rPr>
        <w:t xml:space="preserve">(geo)político,</w:t>
      </w:r>
      <w:r w:rsidDel="00000000" w:rsidR="00000000" w:rsidRPr="00000000">
        <w:rPr>
          <w:rtl w:val="0"/>
        </w:rPr>
        <w:t xml:space="preserve"> histórico, social, variável, heterogêneo e sensível aos contextos de uso, reconhecendo-as e vivenciando-as como formas de expressões identitárias, pessoais e coletivas, bem como respeitando as variedades linguísticas e agindo no enfrentamento de preconceitos de qualquer natureza.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EM13LGG401, EM13LP09, EM13LP10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5: Compreender os processos de produção e negociação de sentidos nas práticas corporais, reconhecendo-as e vivenciando-as como formas de expressão de valores e identidades, em uma perspectiva democrática e de respeito à diversidade.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EM13LGG503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Competência Específica 6: Apreciar esteticamente as mais diversas produções artísticas e culturais, considerando suas características locais, regionais e globais, e mobilizar seus conhecimentos sobre as linguagens artísticas para dar significado e (re)construir produções autorais individuais e coletivas, de maneira crítica e criativa, com respeito à diversidade de saberes, identidades e culturas.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Habilidades: EM13LGG603, EM13LP46, EM13LP47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highlight w:val="yellow"/>
          <w:rtl w:val="0"/>
        </w:rPr>
        <w:t xml:space="preserve">[ODS]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Objetivo 4: Assegurar a educação inclusiva e equitativa de qualidade, e promover oportunidades de aprendizagem ao longo da vida para todos.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Meta 4.7: Até 2030, garantir que todos os alunos adquiram conhecimentos e habilidades necessárias para promover o desenvolvimento sustentável, inclusive, entre outros, por meio da educação para o desenvolvimento sustentável e estilos de vida sustentáveis, direitos humanos, igualdade de gênero, promoção de uma cultura de paz e não violência, cidadania global e valorização da diversidade cultural e da contribuição da cultura para o desenvolvimento sustentável.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highlight w:val="yellow"/>
          <w:rtl w:val="0"/>
        </w:rPr>
        <w:t xml:space="preserve">[Depoimentos dos professores]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“A prática ‘Retextualização de poemas visuais’ oportuniza que o estudo literário e tipográfico seja realizado de forma prazerosa, conectado com a vida e a experiência de cada estudante. Nela, a literatura encontra o universo das artes visuais e, assim, o desenvolvimento da criatividade e do desejo de buscar novas leituras surge como um dos resultados efetivos do processo de criação.”</w:t>
      </w:r>
    </w:p>
    <w:p w:rsidR="00000000" w:rsidDel="00000000" w:rsidP="00000000" w:rsidRDefault="00000000" w:rsidRPr="00000000" w14:paraId="0000003E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Paula Scarabelot, professora de Multimídia do Colégio Estadual José Leite Lopes - NAVE Rio</w:t>
      </w:r>
    </w:p>
    <w:p w:rsidR="00000000" w:rsidDel="00000000" w:rsidP="00000000" w:rsidRDefault="00000000" w:rsidRPr="00000000" w14:paraId="0000003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highlight w:val="white"/>
          <w:rtl w:val="0"/>
        </w:rPr>
        <w:t xml:space="preserve">Um dos principais intuitos da poesia é a expressão humana, independentemente do formato em que ela é apresentada. </w:t>
      </w:r>
      <w:r w:rsidDel="00000000" w:rsidR="00000000" w:rsidRPr="00000000">
        <w:rPr>
          <w:rtl w:val="0"/>
        </w:rPr>
        <w:t xml:space="preserve">Compreender e apreciar o texto do poema atrelado à imagem criada </w:t>
      </w:r>
      <w:r w:rsidDel="00000000" w:rsidR="00000000" w:rsidRPr="00000000">
        <w:rPr>
          <w:highlight w:val="white"/>
          <w:rtl w:val="0"/>
        </w:rPr>
        <w:t xml:space="preserve">é uma excelente maneira de incentivar a leitura de forma criativa e proporcionar ao estudante o aumento do vocabulário, a riqueza de ideias e a possibilidade de ter uma maior compreensão do estudo da literatura. É possível, dessa forma, com o suporte de ferramentas digitais, oferecer uma maneira desafiadora de dialogar com o mundo.”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b w:val="1"/>
          <w:highlight w:val="white"/>
          <w:rtl w:val="0"/>
        </w:rPr>
        <w:t xml:space="preserve">Rafaela Rolim, professora de Português e Literatura da Escola Técnica Estadual Cícero Dias - NAVE Recife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“Poesia visual é reinventar-se por meio das múltiplas linguagens e recursos gráficos e expressivos.” </w:t>
      </w:r>
    </w:p>
    <w:p w:rsidR="00000000" w:rsidDel="00000000" w:rsidP="00000000" w:rsidRDefault="00000000" w:rsidRPr="00000000" w14:paraId="00000044">
      <w:pPr>
        <w:ind w:left="72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Renata Barcellos, professora de Português e Literatura do Colégio Estadual José Leite Lopes - NAVE Rio</w:t>
      </w:r>
    </w:p>
    <w:p w:rsidR="00000000" w:rsidDel="00000000" w:rsidP="00000000" w:rsidRDefault="00000000" w:rsidRPr="00000000" w14:paraId="00000045">
      <w:pPr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[Orientações gerais]</w:t>
      </w:r>
    </w:p>
    <w:p w:rsidR="00000000" w:rsidDel="00000000" w:rsidP="00000000" w:rsidRDefault="00000000" w:rsidRPr="00000000" w14:paraId="0000004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  <w:t xml:space="preserve">Olá, professor e professora, </w:t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  <w:t xml:space="preserve">A Experiência Didática que você vai conhecer foi desenvolvida por professores do Ensino Médio que atuam no Núcleo Avançado em Educação – NAVE –, uma parceria do Oi Futuro com as Secretarias de Estado de Educação de Pernambuco e do Rio de Janeiro. </w:t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  <w:t xml:space="preserve">Neste caderno, apresentamos orientações e caminhos que podem ser percorridos para implementar a Experiência Didática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Retextualização de poemas visuais” na sua sala de aula. A ideia é servir como fonte de inspiração para você: fique à vontade para replicar, modificar e criar novas estratégias que fazem mais sentido para seu contexto. 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  <w:t xml:space="preserve">Algumas etapas da Experiência Didática foram pensadas com o suporte de recursos digitais e conexão à internet, mas elas podem ser perfeitamente desenvolvidas de forma analógica. Portanto, não desanime caso você não tenha algum dos recursos indicados. </w:t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Esperamos que goste! 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highlight w:val="yellow"/>
          <w:rtl w:val="0"/>
        </w:rPr>
        <w:t xml:space="preserve">[Recursos]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Papéis (papel ofício, cartolina e/ou outros tipos); 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Materiais para escrever e colorir (lápis, borracha, canetas coloridas e/ou lápis de cor); 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Redes sociais e aplicativos (Instagram, Facebook, Twitter, WhatsApp);</w:t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0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Ferramentas para videoconferência (Google Meet, Zoom, Microsoft Teams);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shd w:fill="ffffff" w:val="clear"/>
        <w:spacing w:before="100" w:line="342.85714285714283" w:lineRule="auto"/>
        <w:ind w:left="720" w:hanging="360"/>
      </w:pPr>
      <w:r w:rsidDel="00000000" w:rsidR="00000000" w:rsidRPr="00000000">
        <w:rPr>
          <w:rtl w:val="0"/>
        </w:rPr>
        <w:t xml:space="preserve">Ferramenta de apresentação de slides (Google Slides, Prezi, Canva ou similares);</w:t>
      </w:r>
    </w:p>
    <w:p w:rsidR="00000000" w:rsidDel="00000000" w:rsidP="00000000" w:rsidRDefault="00000000" w:rsidRPr="00000000" w14:paraId="0000005F">
      <w:pPr>
        <w:shd w:fill="ffffff" w:val="clear"/>
        <w:spacing w:before="100" w:line="342.85714285714283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0"/>
        </w:numPr>
        <w:ind w:left="720" w:hanging="360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  <w:t xml:space="preserve">Softwares gráficos vetoriais (InkScape, Illustrator, CorelDRAW, Canva);</w:t>
      </w:r>
    </w:p>
    <w:p w:rsidR="00000000" w:rsidDel="00000000" w:rsidP="00000000" w:rsidRDefault="00000000" w:rsidRPr="00000000" w14:paraId="00000061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Equipamentos tecnológicos (smartphone ou computador com acesso à internet).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720" w:firstLine="0"/>
        <w:rPr/>
      </w:pPr>
      <w:r w:rsidDel="00000000" w:rsidR="00000000" w:rsidRPr="00000000">
        <w:rPr>
          <w:i w:val="1"/>
          <w:shd w:fill="d9d9d9" w:val="clear"/>
          <w:rtl w:val="0"/>
        </w:rPr>
        <w:t xml:space="preserve">#dica: Caso você não tenha acesso à internet, é possível fazer adaptações para desenvolver a prática de forma analógica. Utilize livros, recortes, papéis e cartazes.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[Materiais de referência]</w:t>
      </w:r>
    </w:p>
    <w:p w:rsidR="00000000" w:rsidDel="00000000" w:rsidP="00000000" w:rsidRDefault="00000000" w:rsidRPr="00000000" w14:paraId="00000067">
      <w:pPr>
        <w:rPr>
          <w:shd w:fill="e0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ind w:left="720" w:hanging="360"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1922 - A Semana Que Não Terminou</w:t>
        </w:r>
      </w:hyperlink>
      <w:r w:rsidDel="00000000" w:rsidR="00000000" w:rsidRPr="00000000">
        <w:rPr>
          <w:color w:val="212529"/>
          <w:highlight w:val="white"/>
          <w:rtl w:val="0"/>
        </w:rPr>
        <w:t xml:space="preserve">: Livro escrito pelo jornalista Marcos Augusto Gonçalves descreve personagens e as jornadas que animaram o Teatro Municipal durante a Semana de Arte Moderna. (Companhia das Letras)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shd w:fill="e0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highlight w:val="whit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Arte Moderna no Brasil - Constituição e Desenvolvimento nas Artes Visuais (1900-1950</w:t>
        </w:r>
      </w:hyperlink>
      <w:r w:rsidDel="00000000" w:rsidR="00000000" w:rsidRPr="00000000">
        <w:rPr>
          <w:color w:val="212529"/>
          <w:highlight w:val="white"/>
          <w:rtl w:val="0"/>
        </w:rPr>
        <w:t xml:space="preserve">): </w:t>
      </w:r>
      <w:r w:rsidDel="00000000" w:rsidR="00000000" w:rsidRPr="00000000">
        <w:rPr>
          <w:color w:val="212529"/>
          <w:highlight w:val="white"/>
          <w:rtl w:val="0"/>
        </w:rPr>
        <w:t xml:space="preserve">Livro</w:t>
      </w:r>
      <w:r w:rsidDel="00000000" w:rsidR="00000000" w:rsidRPr="00000000">
        <w:rPr>
          <w:color w:val="212529"/>
          <w:highlight w:val="white"/>
          <w:rtl w:val="0"/>
        </w:rPr>
        <w:t xml:space="preserve"> escrito por Icléia Cattani apresenta a constituição e o desenvolvimento das artes visuais entre 1900 e 1950, além de reunir todos os detalhes da Semana de Arte Moderna de 1922. (C/Arte) </w:t>
      </w:r>
    </w:p>
    <w:p w:rsidR="00000000" w:rsidDel="00000000" w:rsidP="00000000" w:rsidRDefault="00000000" w:rsidRPr="00000000" w14:paraId="0000006B">
      <w:pPr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Esse é Meu Tipo: um livro sobre fontes</w:t>
        </w:r>
      </w:hyperlink>
      <w:r w:rsidDel="00000000" w:rsidR="00000000" w:rsidRPr="00000000">
        <w:rPr>
          <w:rtl w:val="0"/>
        </w:rPr>
        <w:t xml:space="preserve"> – Livro de Simon Garfield propõe um passeio pelo mundo da tipografia, passando pela invenção da prensa por Gutenberg até os dias atuais. (Zahar)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História do Design Gráfico: Livro de Philip B. Meggs e Alston W. Purvis </w:t>
        </w:r>
      </w:hyperlink>
      <w:r w:rsidDel="00000000" w:rsidR="00000000" w:rsidRPr="00000000">
        <w:rPr>
          <w:rtl w:val="0"/>
        </w:rPr>
        <w:t xml:space="preserve">conta sobre o surgimento da escrita e da tipografia até seu uso na sociedade contemporânea. (</w:t>
      </w:r>
      <w:r w:rsidDel="00000000" w:rsidR="00000000" w:rsidRPr="00000000">
        <w:rPr>
          <w:color w:val="0f1111"/>
          <w:sz w:val="21"/>
          <w:szCs w:val="21"/>
          <w:highlight w:val="white"/>
          <w:rtl w:val="0"/>
        </w:rPr>
        <w:t xml:space="preserve">Cosac &amp; Naify)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720" w:hanging="36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Memória das letras</w:t>
        </w:r>
      </w:hyperlink>
      <w:r w:rsidDel="00000000" w:rsidR="00000000" w:rsidRPr="00000000">
        <w:rPr>
          <w:rtl w:val="0"/>
        </w:rPr>
        <w:t xml:space="preserve">: Vídeo sobre o funcionamento de uma oficina tipográfica tradicional. (Pesquisa Fapesp)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Pensar com tipos</w:t>
        </w:r>
      </w:hyperlink>
      <w:r w:rsidDel="00000000" w:rsidR="00000000" w:rsidRPr="00000000">
        <w:rPr>
          <w:rtl w:val="0"/>
        </w:rPr>
        <w:t xml:space="preserve">: Livro de Ellen Lupton aborda as questões culturais e teóricas que alimentam o design tipográfico. (</w:t>
      </w:r>
      <w:r w:rsidDel="00000000" w:rsidR="00000000" w:rsidRPr="00000000">
        <w:rPr>
          <w:color w:val="0f1111"/>
          <w:sz w:val="21"/>
          <w:szCs w:val="21"/>
          <w:highlight w:val="white"/>
          <w:rtl w:val="0"/>
        </w:rPr>
        <w:t xml:space="preserve">Olhares) </w:t>
      </w:r>
    </w:p>
    <w:p w:rsidR="00000000" w:rsidDel="00000000" w:rsidP="00000000" w:rsidRDefault="00000000" w:rsidRPr="00000000" w14:paraId="00000073">
      <w:pPr>
        <w:rPr>
          <w:color w:val="0f111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  <w:rPr>
          <w:color w:val="0f1111"/>
          <w:sz w:val="21"/>
          <w:szCs w:val="21"/>
          <w:highlight w:val="white"/>
        </w:rPr>
      </w:pPr>
      <w:hyperlink r:id="rId12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Tchello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d'Barros Olhos de Lince:</w:t>
        </w:r>
      </w:hyperlink>
      <w:r w:rsidDel="00000000" w:rsidR="00000000" w:rsidRPr="00000000">
        <w:rPr>
          <w:rtl w:val="0"/>
        </w:rPr>
        <w:t xml:space="preserve"> Livro da professora, escritora e pesquisadora Renata Barcellos apresenta a poesia visual em perspectiva. (Editora Personal)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Tipografia Experimental</w:t>
        </w:r>
      </w:hyperlink>
      <w:r w:rsidDel="00000000" w:rsidR="00000000" w:rsidRPr="00000000">
        <w:rPr>
          <w:rtl w:val="0"/>
        </w:rPr>
        <w:t xml:space="preserve">: Artigo mostra a tipografia experimental em uma perspectiva histórica, passando pelos seus diferentes movimentos, aplicações e artistas. (O tipo da fonte) </w:t>
      </w:r>
    </w:p>
    <w:p w:rsidR="00000000" w:rsidDel="00000000" w:rsidP="00000000" w:rsidRDefault="00000000" w:rsidRPr="00000000" w14:paraId="00000077">
      <w:pPr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720" w:hanging="360"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Tupigrafia</w:t>
        </w:r>
      </w:hyperlink>
      <w:r w:rsidDel="00000000" w:rsidR="00000000" w:rsidRPr="00000000">
        <w:rPr>
          <w:rtl w:val="0"/>
        </w:rPr>
        <w:t xml:space="preserve">: Primeira revista sobre tipografia no Brasil. (Tupigrafia)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highlight w:val="yellow"/>
          <w:rtl w:val="0"/>
        </w:rPr>
        <w:t xml:space="preserve">[Planejamento]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Crie uma seleção de poemas visuais para apresentar aos/às estudantes. Para essa curadoria ficar ainda mais interessante, considere produções de diferentes períodos, temas e dimensões estéticas. Avalie se os poemas visuais escolhidos são adequados para a sua turma e verifique se eles podem ser compreendidos por todos/todas. Caso seja necessário, faça adaptações, busque novos recursos e inclua poemas em braile na sua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ind w:firstLine="72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75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75"/>
        <w:tblGridChange w:id="0">
          <w:tblGrid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Dicas de poemas visuais para trabalhar com os estudantes: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Style w:val="Heading3"/>
              <w:keepNext w:val="0"/>
              <w:keepLines w:val="0"/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340" w:line="288" w:lineRule="auto"/>
              <w:ind w:left="720" w:hanging="360"/>
            </w:pPr>
            <w:bookmarkStart w:colFirst="0" w:colLast="0" w:name="_x5w5ocs0gskr" w:id="0"/>
            <w:bookmarkEnd w:id="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Aranha, de Salette Tavares;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Style w:val="Heading3"/>
              <w:keepNext w:val="0"/>
              <w:keepLines w:val="0"/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88" w:lineRule="auto"/>
              <w:ind w:left="720" w:hanging="360"/>
            </w:pPr>
            <w:bookmarkStart w:colFirst="0" w:colLast="0" w:name="_s3bf11d1hnq" w:id="1"/>
            <w:bookmarkEnd w:id="1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Combustão Espontânea, de Tchello d'Barros; </w:t>
            </w:r>
          </w:p>
          <w:p w:rsidR="00000000" w:rsidDel="00000000" w:rsidP="00000000" w:rsidRDefault="00000000" w:rsidRPr="00000000" w14:paraId="00000084">
            <w:pPr>
              <w:pStyle w:val="Heading3"/>
              <w:keepNext w:val="0"/>
              <w:keepLines w:val="0"/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88" w:lineRule="auto"/>
              <w:ind w:left="720" w:hanging="360"/>
            </w:pPr>
            <w:bookmarkStart w:colFirst="0" w:colLast="0" w:name="_pzy7lbb3r8gc" w:id="2"/>
            <w:bookmarkEnd w:id="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Lixo, luxo, de Augusto de Campos; </w:t>
            </w:r>
          </w:p>
          <w:p w:rsidR="00000000" w:rsidDel="00000000" w:rsidP="00000000" w:rsidRDefault="00000000" w:rsidRPr="00000000" w14:paraId="00000085">
            <w:pPr>
              <w:pStyle w:val="Heading3"/>
              <w:keepNext w:val="0"/>
              <w:keepLines w:val="0"/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88" w:lineRule="auto"/>
              <w:ind w:left="720" w:hanging="360"/>
            </w:pPr>
            <w:bookmarkStart w:colFirst="0" w:colLast="0" w:name="_40qsxggam7k5" w:id="3"/>
            <w:bookmarkEnd w:id="3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Par(a)lamentares,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de Tchello d'Barros; </w:t>
            </w:r>
          </w:p>
          <w:p w:rsidR="00000000" w:rsidDel="00000000" w:rsidP="00000000" w:rsidRDefault="00000000" w:rsidRPr="00000000" w14:paraId="00000086">
            <w:pPr>
              <w:pStyle w:val="Heading3"/>
              <w:keepNext w:val="0"/>
              <w:keepLines w:val="0"/>
              <w:widowControl w:val="0"/>
              <w:numPr>
                <w:ilvl w:val="0"/>
                <w:numId w:val="18"/>
              </w:numPr>
              <w:shd w:fill="ffffff" w:val="clear"/>
              <w:spacing w:after="0" w:afterAutospacing="0" w:before="0" w:beforeAutospacing="0" w:line="288" w:lineRule="auto"/>
              <w:ind w:left="720" w:hanging="360"/>
            </w:pPr>
            <w:bookmarkStart w:colFirst="0" w:colLast="0" w:name="_7ddhhzf8uigj" w:id="4"/>
            <w:bookmarkEnd w:id="4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Rio: o ir, de Arnaldo Antunes; </w:t>
            </w:r>
          </w:p>
          <w:p w:rsidR="00000000" w:rsidDel="00000000" w:rsidP="00000000" w:rsidRDefault="00000000" w:rsidRPr="00000000" w14:paraId="00000087">
            <w:pPr>
              <w:pStyle w:val="Heading3"/>
              <w:keepNext w:val="0"/>
              <w:keepLines w:val="0"/>
              <w:widowControl w:val="0"/>
              <w:numPr>
                <w:ilvl w:val="0"/>
                <w:numId w:val="18"/>
              </w:numPr>
              <w:shd w:fill="ffffff" w:val="clear"/>
              <w:spacing w:after="260" w:before="0" w:beforeAutospacing="0" w:line="288" w:lineRule="auto"/>
              <w:ind w:left="720" w:hanging="360"/>
            </w:pPr>
            <w:bookmarkStart w:colFirst="0" w:colLast="0" w:name="_ni5vfqfnez9f" w:id="5"/>
            <w:bookmarkEnd w:id="5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Teste de Visão, de Tchello d'Barros.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Verifique a possibilidade de convidar poetas para compartilhar experiências com os/as estudantes em um encontro presencial ou virtual.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Em conjunto com os/as estudantes, combine os critérios de avaliação que serão utilizados ao longo de toda a prática. Sugerimos um trabalho com avaliação contínua, coletiva e individual.</w:t>
      </w:r>
    </w:p>
    <w:p w:rsidR="00000000" w:rsidDel="00000000" w:rsidP="00000000" w:rsidRDefault="00000000" w:rsidRPr="00000000" w14:paraId="0000008D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[Mobilização e sensibilização] </w:t>
      </w:r>
    </w:p>
    <w:p w:rsidR="00000000" w:rsidDel="00000000" w:rsidP="00000000" w:rsidRDefault="00000000" w:rsidRPr="00000000" w14:paraId="0000008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Desenvolva uma atividade de sensibilização com os/as estudantes. Você pode organizar uma pequena exposição de poemas visuais ou apresentar as obras de forma expositiva.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Pergunte se a turma já conhece a poesia visual e dê oportunidade para todos/todas compartilharem suas impressões sobre as produções apresentadas. Aqui também pode ser interessante pedir para os/as estudantes pesquisarem novos exemplos de poemas visuais.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[Desenvolvimento] </w:t>
      </w:r>
    </w:p>
    <w:p w:rsidR="00000000" w:rsidDel="00000000" w:rsidP="00000000" w:rsidRDefault="00000000" w:rsidRPr="00000000" w14:paraId="0000009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Aula expositiva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shd w:fill="ffffff" w:val="clear"/>
        <w:spacing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Promova uma aula sobre poesia visual, que é uma vertente da poesia que se utiliza de diversas linguagens e recursos gráficos. A forma como o texto é disposto sobre o papel ou a tela constrói uma imagem que também oferece sentidos ao poema. Nesta apresentação, você pode também fazer correlações com o movimento literário do Modernismo e as vanguardas europeias, apresentando suas principais características e um panorama desde o seu surgimento no Brasil e no mundo.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8175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75"/>
        <w:tblGridChange w:id="0">
          <w:tblGrid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Uma referência interessante para apresentar aos estudantes é a obra “O ovo”, do grego Símias de Rodes (300 a.C.), que é conhecida como a poesia visual mais antiga que se tem registro na história.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</w:rPr>
              <w:drawing>
                <wp:inline distB="114300" distT="114300" distL="114300" distR="114300">
                  <wp:extent cx="2876550" cy="331192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3311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Rodes,</w:t>
            </w:r>
            <w:r w:rsidDel="00000000" w:rsidR="00000000" w:rsidRPr="00000000">
              <w:rPr>
                <w:highlight w:val="white"/>
                <w:rtl w:val="0"/>
              </w:rPr>
              <w:t xml:space="preserve"> S. O Ovo. 325 a.C. (tradução)</w:t>
            </w:r>
          </w:p>
        </w:tc>
      </w:tr>
    </w:tbl>
    <w:p w:rsidR="00000000" w:rsidDel="00000000" w:rsidP="00000000" w:rsidRDefault="00000000" w:rsidRPr="00000000" w14:paraId="0000009C">
      <w:pPr>
        <w:shd w:fill="ffffff" w:val="clear"/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shd w:fill="ffffff" w:val="clear"/>
        <w:spacing w:befor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Converse com os/as estudantes sobre a importância da Semana de Arte Moderna de 1922,​​​​​​ evento que deu destaque à expressão da ruptura com o passado, da renovação de linguagem, da busca pela experimentação e da liberdade de criação. Neste período, os poemas visuais e os cartazes ganham ainda mais força para comunicar ideias e produções literárias.</w:t>
      </w:r>
    </w:p>
    <w:p w:rsidR="00000000" w:rsidDel="00000000" w:rsidP="00000000" w:rsidRDefault="00000000" w:rsidRPr="00000000" w14:paraId="0000009E">
      <w:pPr>
        <w:shd w:fill="ffffff" w:val="clear"/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3"/>
        </w:numPr>
        <w:shd w:fill="ffffff" w:val="clear"/>
        <w:spacing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Aproveite esse gancho para falar sobre o Centenário da Semana de Arte Moderna. Você também pode apresentar alguns cartazes famosos do período, como os produzidos pelo artista plástico Di Cavalcanti, e fazer um estudo artístico deles, explorando elementos como composição, cores, ilustrações e tipografias utilizadas para a sua produção.</w:t>
      </w:r>
    </w:p>
    <w:p w:rsidR="00000000" w:rsidDel="00000000" w:rsidP="00000000" w:rsidRDefault="00000000" w:rsidRPr="00000000" w14:paraId="000000A0">
      <w:pPr>
        <w:ind w:left="720" w:firstLine="0"/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firstLine="72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75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75"/>
        <w:tblGridChange w:id="0">
          <w:tblGrid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Por que é importante trabalhar a Semana de Arte Moderna na sala de aula?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A Semana de Arte Moderna aconteceu em um período de renovação de estruturas mentais e políticas da sociedade. Ela rompeu </w:t>
            </w:r>
            <w:r w:rsidDel="00000000" w:rsidR="00000000" w:rsidRPr="00000000">
              <w:rPr>
                <w:rtl w:val="0"/>
              </w:rPr>
              <w:t xml:space="preserve">com os padrões acadêmicos da arte na década de 20 e criou uma nova identidade nacional, o que sem dúvida se refletiu no trabalho dos designers da época, que eram sobretudo artistas plásticos, pintores e arquitetos.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Os reflexos da Semana de Arte Moderna podem ser vistos até hoje nas produções de cartazes, do design mobiliário e de objetos e nas criações tipográficas brasileiras, com a proliferação de revistas e manifestos da época.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490913" cy="2130048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913" cy="21300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Cartazes produzidos por Di Cavalcanti 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i w:val="1"/>
          <w:shd w:fill="d9d9d9" w:val="clear"/>
        </w:rPr>
      </w:pPr>
      <w:r w:rsidDel="00000000" w:rsidR="00000000" w:rsidRPr="00000000">
        <w:rPr>
          <w:b w:val="1"/>
          <w:highlight w:val="white"/>
          <w:rtl w:val="0"/>
        </w:rPr>
        <w:t xml:space="preserve">Análise de poemas visuais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firstLine="0"/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Oriente a turma para se organizar em duplas, trios ou grupos. Compartilhe informações sobre as vanguardas europeias que trabalham com a linguagem visual (Dadaísmo, Futurismo e Surrealismo) e apresente mais alguns exemplares da poesia visual. </w:t>
      </w:r>
      <w:r w:rsidDel="00000000" w:rsidR="00000000" w:rsidRPr="00000000">
        <w:rPr>
          <w:i w:val="1"/>
          <w:shd w:fill="d9d9d9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Oriente os/as jovens para que eles/elas possam escolher um dos diversos poemas visuais que foram apresentados em aula para fazer uma análise. Essa etapa é importante para que compreendam a lógica por trás da poesia visual, qual é a temática da obra e que tipo de ferramenta foi utilizada pelo poeta para a construção de sentido. A turma também deve relacionar o poema escolhido com as características das obras do movimento das vanguardas europeias.</w:t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highlight w:val="white"/>
        </w:rPr>
      </w:pPr>
      <w:r w:rsidDel="00000000" w:rsidR="00000000" w:rsidRPr="00000000">
        <w:rPr>
          <w:i w:val="1"/>
          <w:shd w:fill="d9d9d9" w:val="clear"/>
          <w:rtl w:val="0"/>
        </w:rPr>
        <w:t xml:space="preserve">#dica: Caso você não tenha acesso à internet, é possível fazer adaptações para desenvolver a prática de forma analógica. Utilize livros, recortes, papéis e cartazes.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b w:val="1"/>
          <w:highlight w:val="white"/>
          <w:rtl w:val="0"/>
        </w:rPr>
        <w:t xml:space="preserve">Retextualização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Depois de fazer sua análise da poesia visual, cada dupla/grupo deve começar o processo de retextualização da obra. Ou seja, a partir da identificação do tema central tratado na obra selecionada, a dupla ou grupo deverá elaborar uma produção em outro gênero textual: charge, receita, crônica, publicidade, história em quadrinhos, letra de música ou outro formato escolhido pelos/pelas jovens. 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Produção de poesias visuais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 a retextualização concluída, chegou o momento dos/das estudantes trocarem seus trabalhos com os/as colegas para fazerem o processo inverso de criar poemas visuais a partir das charges, receitas, crônicas, publicidades, histórias em quadrinhos e/ou letras de música produzidas. Isso pode ser feito de forma digital, com o uso de softwares livres, como o InkScape, ou de forma manual, com papel e lápis.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ind w:firstLine="72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175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75"/>
        <w:tblGridChange w:id="0">
          <w:tblGrid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Como criar poesias visuais </w:t>
            </w:r>
          </w:p>
          <w:p w:rsidR="00000000" w:rsidDel="00000000" w:rsidP="00000000" w:rsidRDefault="00000000" w:rsidRPr="00000000" w14:paraId="000000BE">
            <w:pPr>
              <w:pStyle w:val="Heading3"/>
              <w:keepNext w:val="0"/>
              <w:keepLines w:val="0"/>
              <w:widowControl w:val="0"/>
              <w:shd w:fill="ffffff" w:val="clear"/>
              <w:spacing w:after="260" w:before="340" w:line="288" w:lineRule="auto"/>
              <w:rPr>
                <w:color w:val="000000"/>
                <w:sz w:val="22"/>
                <w:szCs w:val="22"/>
                <w:highlight w:val="white"/>
              </w:rPr>
            </w:pPr>
            <w:bookmarkStart w:colFirst="0" w:colLast="0" w:name="_wj9c0waw3q40" w:id="6"/>
            <w:bookmarkEnd w:id="6"/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Os poemas podem ser criados por meio de um software gráfico vetorial, como InkScape, que é código aberto e pode ser baixado </w:t>
            </w:r>
            <w:hyperlink r:id="rId18">
              <w:r w:rsidDel="00000000" w:rsidR="00000000" w:rsidRPr="00000000">
                <w:rPr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aqui</w:t>
              </w:r>
            </w:hyperlink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. Nesse processo, é importante apresentar a ferramenta para os/as estudantes, que podem ter conhecimento prévio ou não de como utilizá-la.</w:t>
            </w:r>
          </w:p>
          <w:p w:rsidR="00000000" w:rsidDel="00000000" w:rsidP="00000000" w:rsidRDefault="00000000" w:rsidRPr="00000000" w14:paraId="000000BF">
            <w:pPr>
              <w:pStyle w:val="Heading3"/>
              <w:keepNext w:val="0"/>
              <w:keepLines w:val="0"/>
              <w:widowControl w:val="0"/>
              <w:shd w:fill="ffffff" w:val="clear"/>
              <w:spacing w:after="260" w:before="340" w:line="288" w:lineRule="auto"/>
              <w:rPr>
                <w:color w:val="000000"/>
                <w:sz w:val="22"/>
                <w:szCs w:val="22"/>
                <w:highlight w:val="white"/>
              </w:rPr>
            </w:pPr>
            <w:bookmarkStart w:colFirst="0" w:colLast="0" w:name="_qekbgnpv5npo" w:id="7"/>
            <w:bookmarkEnd w:id="7"/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Com o software é possível explorar a distorção de formas geométricas, a inversão de direção das letras e palavras e a desconstrução e quebra dos elementos e caracteres tipográficos, testando possibilidades de criação da poesia visual de forma rápida. </w:t>
            </w:r>
          </w:p>
          <w:p w:rsidR="00000000" w:rsidDel="00000000" w:rsidP="00000000" w:rsidRDefault="00000000" w:rsidRPr="00000000" w14:paraId="000000C0">
            <w:pPr>
              <w:pStyle w:val="Heading3"/>
              <w:keepNext w:val="0"/>
              <w:keepLines w:val="0"/>
              <w:widowControl w:val="0"/>
              <w:shd w:fill="ffffff" w:val="clear"/>
              <w:spacing w:after="260" w:before="340" w:line="288" w:lineRule="auto"/>
              <w:rPr>
                <w:color w:val="000000"/>
                <w:sz w:val="22"/>
                <w:szCs w:val="22"/>
                <w:highlight w:val="white"/>
              </w:rPr>
            </w:pPr>
            <w:bookmarkStart w:colFirst="0" w:colLast="0" w:name="_eckhpkjg06gf" w:id="8"/>
            <w:bookmarkEnd w:id="8"/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O software é interessante para reprodução de formas bem-acabadas e prontas para impressão em diferentes tamanhos. Porém, não deve ser descartada a possibilidade de criação manual. Nesse caso, você pode utilizar papel, cartolinas e canetas.</w:t>
            </w:r>
          </w:p>
          <w:p w:rsidR="00000000" w:rsidDel="00000000" w:rsidP="00000000" w:rsidRDefault="00000000" w:rsidRPr="00000000" w14:paraId="000000C1">
            <w:pPr>
              <w:pStyle w:val="Heading3"/>
              <w:keepNext w:val="0"/>
              <w:keepLines w:val="0"/>
              <w:widowControl w:val="0"/>
              <w:shd w:fill="ffffff" w:val="clear"/>
              <w:spacing w:after="260" w:before="340" w:line="288" w:lineRule="auto"/>
              <w:rPr/>
            </w:pPr>
            <w:bookmarkStart w:colFirst="0" w:colLast="0" w:name="_89vgl7cy000f" w:id="9"/>
            <w:bookmarkEnd w:id="9"/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Em uma produção analógica, a turma pode explorar seus talentos manuais para criar poesias, desenhando e/ou recortando formas, com resultados surpreendentes e muito expressivos.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i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Convide os/as estudantes a pensarem em diferentes estratégias para compartilharem suas produções com os/as colegas. A ideia é criar um clima instigante entre os/as jovens, estimulados a tratar da obra e também de si, do que sentem e sobre como os poemas de diferentes autores/autoras tocam cada um deles. Este é um momento de culminância da experiência didática, pois um dos principais objetivos da atividade é abrir espaço para os/as jovens se conhecerem e refletirem sobre suas questões, em articulação com os conteúdos curriculares da disciplina de Literatura.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1c609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[Avaliação e compartilhamento]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observar se os/as estudantes desenvolveram habilidades, tanto do conhecimento crítico e da análise, como também da interpretação coerente das atividades propostas, você pode usar a avaliação contínua, coletiva e individual. </w:t>
      </w:r>
    </w:p>
    <w:p w:rsidR="00000000" w:rsidDel="00000000" w:rsidP="00000000" w:rsidRDefault="00000000" w:rsidRPr="00000000" w14:paraId="000000CA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Além de considerar o registro escrito com as análises das obras, os trabalhos de retextualização e os próprios poemas visuais criados pelos/pelas estudantes, observe o envolvimento deles/delas durante o desenvolvimento da experiência didática. </w:t>
      </w:r>
    </w:p>
    <w:p w:rsidR="00000000" w:rsidDel="00000000" w:rsidP="00000000" w:rsidRDefault="00000000" w:rsidRPr="00000000" w14:paraId="000000CC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1"/>
        </w:numPr>
        <w:ind w:left="720" w:hanging="360"/>
        <w:rPr>
          <w:i w:val="1"/>
          <w:shd w:fill="d9d9d9" w:val="clear"/>
        </w:rPr>
      </w:pPr>
      <w:r w:rsidDel="00000000" w:rsidR="00000000" w:rsidRPr="00000000">
        <w:rPr>
          <w:highlight w:val="white"/>
          <w:rtl w:val="0"/>
        </w:rPr>
        <w:t xml:space="preserve">Se quiser ir além, você também pode promover um concurso literário para celebrar as produções que foram criadas pelos/pelas estudantes. Para essa atividade, os/as jurados/juradas podem ser professores/professoras da escola, pessoas da comunidade e até mesmo poetas convidados/convidadas. </w:t>
      </w:r>
    </w:p>
    <w:p w:rsidR="00000000" w:rsidDel="00000000" w:rsidP="00000000" w:rsidRDefault="00000000" w:rsidRPr="00000000" w14:paraId="000000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encerrar a experiência didática e compartilhar os resultados com toda a comunidade escolar, os/as estudantes podem preparar molduras para seus poemas visuais e montar uma exposição. Caso a atividade seja realizada no modelo remoto, você também pode usar ferramentas de apresentação de slides ou murais virtuais para exibir as produções.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.co/kgs/Pw3V6X" TargetMode="External"/><Relationship Id="rId10" Type="http://schemas.openxmlformats.org/officeDocument/2006/relationships/hyperlink" Target="https://www.youtube.com/watch?v=KZ_lMmY9WK8&amp;t=33s" TargetMode="External"/><Relationship Id="rId13" Type="http://schemas.openxmlformats.org/officeDocument/2006/relationships/hyperlink" Target="https://www.google.com/search?q=Tchello+d%27Barros+Olhos+de+Lince%3A&amp;oq=Tchello+d%27Barros+Olhos+de+Lince%3A&amp;aqs=chrome..69i57j33i160l2.1566j0j9&amp;sourceid=chrome&amp;ie=UTF-8" TargetMode="External"/><Relationship Id="rId12" Type="http://schemas.openxmlformats.org/officeDocument/2006/relationships/hyperlink" Target="https://www.google.com/search?q=Tchello+d%27Barros+Olhos+de+Lince%3A&amp;oq=Tchello+d%27Barros+Olhos+de+Lince%3A&amp;aqs=chrome..69i57j33i160l2.1566j0j9&amp;sourceid=chrome&amp;ie=UTF-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search?q=Hist%C3%B3ria+do+Design+Gr%C3%A1fico%3A+Livro+de+Philip+B.+Meggs+e+Alston+W.+Purvis&amp;oq=Hist%C3%B3ria+do+Design+Gr%C3%A1fico%3A+Livro+de+Philip+B.+Meggs+e+Alston+W.+Purvis&amp;aqs=chrome..69i57.815j0j9&amp;sourceid=chrome&amp;ie=UTF-8" TargetMode="External"/><Relationship Id="rId15" Type="http://schemas.openxmlformats.org/officeDocument/2006/relationships/hyperlink" Target="https://www.tupigrafia.com.br/" TargetMode="External"/><Relationship Id="rId14" Type="http://schemas.openxmlformats.org/officeDocument/2006/relationships/hyperlink" Target="https://otipodafonte.com.br/2014/06/tipografia-experimental/" TargetMode="External"/><Relationship Id="rId17" Type="http://schemas.openxmlformats.org/officeDocument/2006/relationships/image" Target="media/image2.jp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g.co/kgs/P1QvN5" TargetMode="External"/><Relationship Id="rId18" Type="http://schemas.openxmlformats.org/officeDocument/2006/relationships/hyperlink" Target="https://inkscape.org/pt-br/release/inkscape-1.1/" TargetMode="External"/><Relationship Id="rId7" Type="http://schemas.openxmlformats.org/officeDocument/2006/relationships/hyperlink" Target="https://g.co/kgs/NnujFa" TargetMode="External"/><Relationship Id="rId8" Type="http://schemas.openxmlformats.org/officeDocument/2006/relationships/hyperlink" Target="https://g.co/kgs/6ibBU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